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of Terms and Abbreviations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AEP - American Electric Power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BPCRC - Byrd Polar and Climate Research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CDC - Center for Disease Control and Prevention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COBE - Central Ohio BioEnergy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COTA - Central Ohio Transit Authority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CRPD - Columbus Recreation and Parks Department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FCEM&amp;HS - Franklin County Emergency Management and Homeland Security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FCEO - Franklin County Engineer’s Office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FCPH - Franklin County Public Health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FCSWCD - Franklin County Soil and Water Conservation Distric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FEMA - Federal Emergency Management Agency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GIS - Geographic Information System - A tool for visualizing/mapping data to help interpret patterns and trends.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GLISA - Great Lakes Integrated Sciences and Assessments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LED - Light-emitting Diode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LEED - Leadership in Energy and Environmental Design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MORPC - Mid-Ohio Regional Planning Commission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NWS - National Weather Service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NYPA - New York Power Authority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ODA - Ohio Department of Agriculture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OEMA - Ohio Emergency Management Agency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OEPA - Ohio Environmental Protection Agency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ODOT - Ohio Department of Transportation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OOT - Office of the Ohio Treasurer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OP3 - Ohio Public-Private Partnership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OPH - Ohio Public Health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PACE - Property Assessed Clean Energy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PUCO - Public Utilities Commission of Ohio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SCOO - State Climate Office of Ohio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UHI - Urban heat island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USGS - United States Geological Survey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